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6"/>
          <w:szCs w:val="26"/>
        </w:rPr>
      </w:pPr>
      <w:r w:rsidDel="00000000" w:rsidR="00000000" w:rsidRPr="00000000">
        <w:rPr>
          <w:b w:val="1"/>
          <w:bCs w:val="1"/>
          <w:sz w:val="26"/>
          <w:szCs w:val="26"/>
          <w:rtl w:val="0"/>
        </w:rPr>
        <w:t xml:space="preserve">Alegaciones planta Biometano </w:t>
      </w:r>
      <w:r w:rsidDel="00000000" w:rsidR="00000000" w:rsidRPr="00000000">
        <w:rPr>
          <w:b w:val="1"/>
          <w:bCs w:val="1"/>
          <w:rtl w:val="0"/>
        </w:rPr>
        <w:t xml:space="preserve">en Langa de Duero (Soriadebe «Enerth Investments</w:t>
      </w:r>
      <w:r w:rsidDel="00000000" w:rsidR="00000000" w:rsidRPr="00000000">
        <w:rPr>
          <w:rtl w:val="0"/>
        </w:rPr>
      </w:r>
    </w:p>
    <w:p w:rsidR="00000000" w:rsidDel="00000000" w:rsidP="00000000" w:rsidRDefault="00000000" w:rsidRPr="00000000" w14:paraId="00000002">
      <w:pPr>
        <w:rPr>
          <w:b w:val="1"/>
          <w:bCs w:val="1"/>
        </w:rPr>
        <w:sectPr>
          <w:headerReference r:id="rId6" w:type="default"/>
          <w:pgSz w:h="16820" w:w="11900" w:orient="portrait"/>
          <w:pgMar w:bottom="451.298828125" w:top="1012.972412109375" w:left="870.1436614990234" w:right="867.381591796875" w:header="0" w:footer="720"/>
          <w:pgNumType w:start="1"/>
          <w:cols w:equalWidth="0" w:num="1">
            <w:col w:space="0" w:w="10167.98"/>
          </w:cols>
        </w:sectPr>
      </w:pPr>
      <w:r w:rsidDel="00000000" w:rsidR="00000000" w:rsidRPr="00000000">
        <w:rPr>
          <w:b w:val="1"/>
          <w:bCs w:val="1"/>
          <w:sz w:val="26"/>
          <w:szCs w:val="26"/>
          <w:rtl w:val="0"/>
        </w:rPr>
        <w:t xml:space="preserve">Anuncio: </w:t>
      </w:r>
      <w:hyperlink r:id="rId7">
        <w:r w:rsidDel="00000000" w:rsidR="00000000" w:rsidRPr="00000000">
          <w:rPr>
            <w:b w:val="1"/>
            <w:bCs w:val="1"/>
            <w:color w:val="1155cc"/>
            <w:u w:val="single"/>
            <w:rtl w:val="0"/>
          </w:rPr>
          <w:t xml:space="preserve">https://bocyl.jcyl.es/boletines/2026/05/07/pdf/BOCYL-D-07052026-85-24.pdf</w:t>
        </w:r>
      </w:hyperlink>
      <w:r w:rsidDel="00000000" w:rsidR="00000000" w:rsidRPr="00000000">
        <w:rPr>
          <w:b w:val="1"/>
          <w:bCs w:val="1"/>
          <w:rtl w:val="0"/>
        </w:rPr>
        <w:t xml:space="preserve"> </w:t>
      </w:r>
    </w:p>
    <w:p w:rsidR="00000000" w:rsidDel="00000000" w:rsidP="00000000" w:rsidRDefault="00000000" w:rsidRPr="00000000" w14:paraId="00000003">
      <w:pPr>
        <w:rPr>
          <w:b w:val="1"/>
          <w:bCs w:val="1"/>
          <w:sz w:val="18"/>
          <w:szCs w:val="18"/>
        </w:rPr>
      </w:pPr>
      <w:r w:rsidDel="00000000" w:rsidR="00000000" w:rsidRPr="00000000">
        <w:rPr>
          <w:b w:val="1"/>
          <w:bCs w:val="1"/>
          <w:sz w:val="26"/>
          <w:szCs w:val="26"/>
          <w:rtl w:val="0"/>
        </w:rPr>
        <w:t xml:space="preserve">📚 Documentación:  </w:t>
      </w:r>
      <w:hyperlink r:id="rId8">
        <w:r w:rsidDel="00000000" w:rsidR="00000000" w:rsidRPr="00000000">
          <w:rPr>
            <w:b w:val="1"/>
            <w:bCs w:val="1"/>
            <w:color w:val="1155cc"/>
            <w:sz w:val="18"/>
            <w:szCs w:val="18"/>
            <w:u w:val="single"/>
            <w:rtl w:val="0"/>
          </w:rPr>
          <w:t xml:space="preserve">https://medioambiente.jcyl.es/web/jcyl/MedioAmbiente/es/Plantilla100Detalle/1284745686027/Texto%20Generico/1285636789893/Texto</w:t>
        </w:r>
      </w:hyperlink>
      <w:r w:rsidDel="00000000" w:rsidR="00000000" w:rsidRPr="00000000">
        <w:rPr>
          <w:rtl w:val="0"/>
        </w:rPr>
      </w:r>
    </w:p>
    <w:p w:rsidR="00000000" w:rsidDel="00000000" w:rsidP="00000000" w:rsidRDefault="00000000" w:rsidRPr="00000000" w14:paraId="00000004">
      <w:pPr>
        <w:rPr>
          <w:b w:val="1"/>
          <w:bCs w:val="1"/>
          <w:sz w:val="26"/>
          <w:szCs w:val="26"/>
        </w:rPr>
      </w:pPr>
      <w:r w:rsidDel="00000000" w:rsidR="00000000" w:rsidRPr="00000000">
        <w:rPr>
          <w:b w:val="1"/>
          <w:bCs w:val="1"/>
          <w:sz w:val="26"/>
          <w:szCs w:val="26"/>
          <w:rtl w:val="0"/>
        </w:rPr>
        <w:t xml:space="preserve">📆 ⚠️Plazo hasta el 18/junio/2026 ⚠️⚠️</w:t>
      </w:r>
    </w:p>
    <w:p w:rsidR="00000000" w:rsidDel="00000000" w:rsidP="00000000" w:rsidRDefault="00000000" w:rsidRPr="00000000" w14:paraId="00000005">
      <w:pPr>
        <w:rPr>
          <w:b w:val="1"/>
          <w:bCs w:val="1"/>
          <w:sz w:val="26"/>
          <w:szCs w:val="26"/>
        </w:rPr>
      </w:pPr>
      <w:r w:rsidDel="00000000" w:rsidR="00000000" w:rsidRPr="00000000">
        <w:rPr>
          <w:b w:val="1"/>
          <w:bCs w:val="1"/>
          <w:sz w:val="26"/>
          <w:szCs w:val="26"/>
          <w:rtl w:val="0"/>
        </w:rPr>
        <w:t xml:space="preserve">Alegaciones breves elaboradas por la Asociación ASDEN-Ecologistas en Acción de Soria </w:t>
      </w:r>
    </w:p>
    <w:p w:rsidR="00000000" w:rsidDel="00000000" w:rsidP="00000000" w:rsidRDefault="00000000" w:rsidRPr="00000000" w14:paraId="00000006">
      <w:pPr>
        <w:jc w:val="center"/>
        <w:rPr>
          <w:b w:val="1"/>
          <w:bCs w:val="1"/>
          <w:sz w:val="26"/>
          <w:szCs w:val="26"/>
        </w:rPr>
      </w:pPr>
      <w:r w:rsidDel="00000000" w:rsidR="00000000" w:rsidRPr="00000000">
        <w:rPr>
          <w:rFonts w:ascii="Andika" w:cs="Andika" w:eastAsia="Andika" w:hAnsi="Andika"/>
          <w:b w:val="1"/>
          <w:bCs w:val="1"/>
          <w:sz w:val="26"/>
          <w:szCs w:val="26"/>
          <w:rtl w:val="0"/>
        </w:rPr>
        <w:t xml:space="preserve">‼️¡Se pueden modificar, ampliar y mejorar‼️</w:t>
      </w:r>
    </w:p>
    <w:p w:rsidR="00000000" w:rsidDel="00000000" w:rsidP="00000000" w:rsidRDefault="00000000" w:rsidRPr="00000000" w14:paraId="00000007">
      <w:pPr>
        <w:jc w:val="center"/>
        <w:rPr/>
      </w:pPr>
      <w:r w:rsidDel="00000000" w:rsidR="00000000" w:rsidRPr="00000000">
        <w:rPr>
          <w:rtl w:val="0"/>
        </w:rPr>
        <w:t xml:space="preserve">-x-.-x-.-x-. -x-.-x-.-x-.-x-. -x--x-.-x-.-x-. -x-</w:t>
      </w:r>
    </w:p>
    <w:p w:rsidR="00000000" w:rsidDel="00000000" w:rsidP="00000000" w:rsidRDefault="00000000" w:rsidRPr="00000000" w14:paraId="00000008">
      <w:pPr>
        <w:jc w:val="left"/>
        <w:rPr/>
      </w:pPr>
      <w:r w:rsidDel="00000000" w:rsidR="00000000" w:rsidRPr="00000000">
        <w:rPr>
          <w:rtl w:val="0"/>
        </w:rPr>
        <w:t xml:space="preserve">A la DIRECCIÓN GENERAL DE INFRAESTRUCTURAS Y SOSTENIBILIDAD AMBIENTAL</w:t>
      </w:r>
    </w:p>
    <w:p w:rsidR="00000000" w:rsidDel="00000000" w:rsidP="00000000" w:rsidRDefault="00000000" w:rsidRPr="00000000" w14:paraId="00000009">
      <w:pPr>
        <w:rPr/>
      </w:pPr>
      <w:r w:rsidDel="00000000" w:rsidR="00000000" w:rsidRPr="00000000">
        <w:rPr>
          <w:rtl w:val="0"/>
        </w:rPr>
        <w:t xml:space="preserve">CONSEJERÍA DE MA,V y OT. JCyL.</w:t>
      </w:r>
    </w:p>
    <w:p w:rsidR="00000000" w:rsidDel="00000000" w:rsidP="00000000" w:rsidRDefault="00000000" w:rsidRPr="00000000" w14:paraId="0000000A">
      <w:pPr>
        <w:rPr/>
      </w:pPr>
      <w:r w:rsidDel="00000000" w:rsidR="00000000" w:rsidRPr="00000000">
        <w:rPr>
          <w:rtl w:val="0"/>
        </w:rPr>
        <w:t xml:space="preserve">C/ Rigoberto Cortejoso, 14.  47071 Valladolid.</w:t>
      </w:r>
    </w:p>
    <w:p w:rsidR="00000000" w:rsidDel="00000000" w:rsidP="00000000" w:rsidRDefault="00000000" w:rsidRPr="00000000" w14:paraId="0000000B">
      <w:pPr>
        <w:rPr/>
      </w:pPr>
      <w:r w:rsidDel="00000000" w:rsidR="00000000" w:rsidRPr="00000000">
        <w:rPr>
          <w:rtl w:val="0"/>
        </w:rPr>
        <w:t xml:space="preserve">Dir3: A07029824</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jc w:val="both"/>
        <w:rPr>
          <w:b w:val="1"/>
          <w:bCs w:val="1"/>
          <w:vertAlign w:val="baseline"/>
        </w:rPr>
      </w:pPr>
      <w:r w:rsidDel="00000000" w:rsidR="00000000" w:rsidRPr="00000000">
        <w:rPr>
          <w:b w:val="1"/>
          <w:bCs w:val="1"/>
          <w:vertAlign w:val="baseline"/>
          <w:rtl w:val="0"/>
        </w:rPr>
        <w:t xml:space="preserve">Alegaciones a la solicitud de Autorización Ambiental Integrada y al Estudio de Impacto Ambiental (EIA) del proyecto de planta de tratamiento de residuos no peligrosos mediante digestión anaerobia para producción de biometano en Langa de Duero (Soria), promovido por «Enerth Investments, S.L.U.» (Expte.: 142-24-AASO; BOCyL de 07/05/2026).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 Dª/La entidad -------------- con DNI  y domicilio a efectos de notificación en ____________</w:t>
      </w:r>
    </w:p>
    <w:p w:rsidR="00000000" w:rsidDel="00000000" w:rsidP="00000000" w:rsidRDefault="00000000" w:rsidRPr="00000000" w14:paraId="00000010">
      <w:pPr>
        <w:rPr/>
      </w:pPr>
      <w:r w:rsidDel="00000000" w:rsidR="00000000" w:rsidRPr="00000000">
        <w:rPr>
          <w:rtl w:val="0"/>
        </w:rPr>
        <w:t xml:space="preserve">comparece  ante la administración arriba indicada sobre el asunto igualmente indicado,  y como mejor en Derecho proceda,</w:t>
      </w:r>
    </w:p>
    <w:p w:rsidR="00000000" w:rsidDel="00000000" w:rsidP="00000000" w:rsidRDefault="00000000" w:rsidRPr="00000000" w14:paraId="00000011">
      <w:pPr>
        <w:rPr/>
      </w:pPr>
      <w:r w:rsidDel="00000000" w:rsidR="00000000" w:rsidRPr="00000000">
        <w:rPr>
          <w:b w:val="1"/>
          <w:bCs w:val="1"/>
          <w:rtl w:val="0"/>
        </w:rPr>
        <w:t xml:space="preserve">EXPONE</w:t>
      </w: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Se presentan las siguientes alegaciones y argumentos:</w:t>
      </w:r>
    </w:p>
    <w:p w:rsidR="00000000" w:rsidDel="00000000" w:rsidP="00000000" w:rsidRDefault="00000000" w:rsidRPr="00000000" w14:paraId="00000013">
      <w:pPr>
        <w:jc w:val="both"/>
        <w:rPr>
          <w:b w:val="1"/>
          <w:bCs w:val="1"/>
          <w:vertAlign w:val="baseline"/>
        </w:rPr>
      </w:pPr>
      <w:r w:rsidDel="00000000" w:rsidR="00000000" w:rsidRPr="00000000">
        <w:rPr>
          <w:b w:val="1"/>
          <w:bCs w:val="1"/>
          <w:vertAlign w:val="baseline"/>
          <w:rtl w:val="0"/>
        </w:rPr>
        <w:t xml:space="preserve">1. NULIDAD DE PLENO DERECHO POR OCUPACIÓN DE DOMINIO PÚBLICO (CAMINO) </w:t>
      </w:r>
    </w:p>
    <w:p w:rsidR="00000000" w:rsidDel="00000000" w:rsidP="00000000" w:rsidRDefault="00000000" w:rsidRPr="00000000" w14:paraId="00000014">
      <w:pPr>
        <w:jc w:val="both"/>
        <w:rPr>
          <w:vertAlign w:val="baseline"/>
        </w:rPr>
      </w:pPr>
      <w:r w:rsidDel="00000000" w:rsidR="00000000" w:rsidRPr="00000000">
        <w:rPr>
          <w:vertAlign w:val="baseline"/>
          <w:rtl w:val="0"/>
        </w:rPr>
        <w:t xml:space="preserve">Defecto insubsanable: Revisada la cartografía catastral, la planta proyectada se sitúa directamente sobre la parcela con referencia 42169A032090010000HI (Polígono 32, Parcela 9001), correspondiente al "Camino de Riajuela", el cual es un bien de Dominio Público vial. El proyecto omite completamente esta circunstancia y carece de la necesaria desafectación o concesión previa. La inclusión de suelo público sin autorización del titular demanial invalida el EIA y contamina de nulidad radical todo el procedimiento de información pública.  </w:t>
      </w:r>
    </w:p>
    <w:p w:rsidR="00000000" w:rsidDel="00000000" w:rsidP="00000000" w:rsidRDefault="00000000" w:rsidRPr="00000000" w14:paraId="00000015">
      <w:pPr>
        <w:jc w:val="both"/>
        <w:rPr>
          <w:b w:val="1"/>
          <w:bCs w:val="1"/>
          <w:vertAlign w:val="baseline"/>
        </w:rPr>
      </w:pPr>
      <w:r w:rsidDel="00000000" w:rsidR="00000000" w:rsidRPr="00000000">
        <w:rPr>
          <w:b w:val="1"/>
          <w:bCs w:val="1"/>
          <w:vertAlign w:val="baseline"/>
          <w:rtl w:val="0"/>
        </w:rPr>
        <w:t xml:space="preserve">2. VULNERACIÓN URBANÍSTICA Y OCULTACIÓN EN LA MATRIZ DE ALTERNATIVAS </w:t>
      </w:r>
    </w:p>
    <w:p w:rsidR="00000000" w:rsidDel="00000000" w:rsidP="00000000" w:rsidRDefault="00000000" w:rsidRPr="00000000" w14:paraId="00000016">
      <w:pPr>
        <w:jc w:val="both"/>
        <w:rPr>
          <w:vertAlign w:val="baseline"/>
        </w:rPr>
      </w:pPr>
      <w:r w:rsidDel="00000000" w:rsidR="00000000" w:rsidRPr="00000000">
        <w:rPr>
          <w:vertAlign w:val="baseline"/>
          <w:rtl w:val="0"/>
        </w:rPr>
        <w:t xml:space="preserve">El proyecto pretende implantarse sobre 18,59 Ha de suelo rústico común, requiriendo una autorización especial y justificación de interés público según las Normas Urbanísticas Municipales (NUM) de Langa de Duero, actualmente no concedida. Además, el diseño incumple flagrantemente los límites de altura impuestos por las NUM (máximo de 7 metros), proyectando siete estructuras que superan dicha cota, alcanzando hasta 15,6 metros en el edificio de materias primas. Asimismo, la Matriz de Alternativas incurre en fraude de ley al descartar y no analizar en absoluto su ubicación en suelo industrial, supeditando el interés ambiental a un único criterio económico privado (cercanía al gasoducto).  </w:t>
      </w:r>
    </w:p>
    <w:p w:rsidR="00000000" w:rsidDel="00000000" w:rsidP="00000000" w:rsidRDefault="00000000" w:rsidRPr="00000000" w14:paraId="00000017">
      <w:pPr>
        <w:jc w:val="both"/>
        <w:rPr>
          <w:b w:val="1"/>
          <w:bCs w:val="1"/>
          <w:vertAlign w:val="baseline"/>
        </w:rPr>
      </w:pPr>
      <w:r w:rsidDel="00000000" w:rsidR="00000000" w:rsidRPr="00000000">
        <w:rPr>
          <w:b w:val="1"/>
          <w:bCs w:val="1"/>
          <w:vertAlign w:val="baseline"/>
          <w:rtl w:val="0"/>
        </w:rPr>
        <w:t xml:space="preserve">3. RIESGO CRÍTICO DE CONTAMINACIÓN HIDROLÓGICA Y AGRAVAMIENTO DE NITRATOS </w:t>
      </w:r>
    </w:p>
    <w:p w:rsidR="00000000" w:rsidDel="00000000" w:rsidP="00000000" w:rsidRDefault="00000000" w:rsidRPr="00000000" w14:paraId="00000018">
      <w:pPr>
        <w:jc w:val="both"/>
        <w:rPr>
          <w:vertAlign w:val="baseline"/>
        </w:rPr>
      </w:pPr>
      <w:r w:rsidDel="00000000" w:rsidR="00000000" w:rsidRPr="00000000">
        <w:rPr>
          <w:vertAlign w:val="baseline"/>
          <w:rtl w:val="0"/>
        </w:rPr>
        <w:t xml:space="preserve">El término municipal de Langa de Duero y sus pedanías se encuentran en una zona con acuíferos críticamente contaminados por nitratos, con redes como Valdanzo (45 mg/l) y Zayas de la Torre (53 mg/l) al límite o superando el umbral legal de 50 mg/l, motivo por el cual la Diputación de Soria ha aprobado partidas presupuestarias de emergencia para su depuración.  </w:t>
      </w:r>
    </w:p>
    <w:p w:rsidR="00000000" w:rsidDel="00000000" w:rsidP="00000000" w:rsidRDefault="00000000" w:rsidRPr="00000000" w14:paraId="00000019">
      <w:pPr>
        <w:jc w:val="both"/>
        <w:rPr>
          <w:vertAlign w:val="baseline"/>
        </w:rPr>
      </w:pPr>
      <w:r w:rsidDel="00000000" w:rsidR="00000000" w:rsidRPr="00000000">
        <w:rPr>
          <w:vertAlign w:val="baseline"/>
          <w:rtl w:val="0"/>
        </w:rPr>
        <w:t xml:space="preserve">La planta agrava críticamente este riesgo al concentrar masivamente nitrógeno de residuos externos en un residuo final (digestato líquido) con una concentración de nitrógeno superior a la de los purines en origen, el cual se esparcirá en campos de la comarca. La retirada de paja propuesta mermará la materia orgánica edáfica, reduciendo la capacidad de fijación del suelo y acelerando la lixiviación del amonio hacia las aguas subterráneas de consumo humano, incrementando el riesgo sanitario de metahemoglobinemia y cáncer colorrectal.  </w:t>
      </w:r>
    </w:p>
    <w:p w:rsidR="00000000" w:rsidDel="00000000" w:rsidP="00000000" w:rsidRDefault="00000000" w:rsidRPr="00000000" w14:paraId="0000001A">
      <w:pPr>
        <w:jc w:val="both"/>
        <w:rPr>
          <w:b w:val="1"/>
          <w:bCs w:val="1"/>
          <w:vertAlign w:val="baseline"/>
        </w:rPr>
      </w:pPr>
      <w:r w:rsidDel="00000000" w:rsidR="00000000" w:rsidRPr="00000000">
        <w:rPr>
          <w:b w:val="1"/>
          <w:bCs w:val="1"/>
          <w:vertAlign w:val="baseline"/>
          <w:rtl w:val="0"/>
        </w:rPr>
        <w:t xml:space="preserve">4. OMISIÓN ABSOLUTA DE IMPACTOS SINÉRGICOS Y ACUMULATIVOS EN LA ZONA </w:t>
      </w:r>
    </w:p>
    <w:p w:rsidR="00000000" w:rsidDel="00000000" w:rsidP="00000000" w:rsidRDefault="00000000" w:rsidRPr="00000000" w14:paraId="0000001B">
      <w:pPr>
        <w:jc w:val="both"/>
        <w:rPr>
          <w:vertAlign w:val="baseline"/>
        </w:rPr>
      </w:pPr>
      <w:r w:rsidDel="00000000" w:rsidR="00000000" w:rsidRPr="00000000">
        <w:rPr>
          <w:vertAlign w:val="baseline"/>
          <w:rtl w:val="0"/>
        </w:rPr>
        <w:t xml:space="preserve">El EIA incumple la normativa de evaluación ambiental al omitir por completo la coexistencia de otras plantas de biometano proyectadas o en tramitación en un radio crítico: "Genia Biometano" (a solo 3,2 km) y "Costa Lobera Enercorr XXI" (a 1,6 km en el propio municipio), además de las proyectadas en San Esteban de Gormaz (11 km), Fuentelcésped (25 km) y Milagros (38 km). Esta omisión deliberada vicia el estudio, ya que la acumulación de proyectos satura la capacidad de absorción de digestatos de la superficie agrícola utilizable (SAU) disponible, multiplica por efecto sinérgico el tráfico pesado (estimado individualmente en 120 viajes/día) y dispara el riesgo generalizado de contaminación y olores.  </w:t>
      </w:r>
    </w:p>
    <w:p w:rsidR="00000000" w:rsidDel="00000000" w:rsidP="00000000" w:rsidRDefault="00000000" w:rsidRPr="00000000" w14:paraId="0000001C">
      <w:pPr>
        <w:jc w:val="both"/>
        <w:rPr>
          <w:b w:val="1"/>
          <w:bCs w:val="1"/>
          <w:vertAlign w:val="baseline"/>
        </w:rPr>
      </w:pPr>
      <w:r w:rsidDel="00000000" w:rsidR="00000000" w:rsidRPr="00000000">
        <w:rPr>
          <w:b w:val="1"/>
          <w:bCs w:val="1"/>
          <w:vertAlign w:val="baseline"/>
          <w:rtl w:val="0"/>
        </w:rPr>
        <w:t xml:space="preserve">5. INVALIDEZ TÉCNICA DEL EIA: DEFICIENCIAS GRAVES EN FLORA, FAUNA Y SANIDAD •  </w:t>
      </w:r>
    </w:p>
    <w:p w:rsidR="00000000" w:rsidDel="00000000" w:rsidP="00000000" w:rsidRDefault="00000000" w:rsidRPr="00000000" w14:paraId="0000001D">
      <w:pPr>
        <w:jc w:val="both"/>
        <w:rPr>
          <w:vertAlign w:val="baseline"/>
        </w:rPr>
      </w:pPr>
      <w:r w:rsidDel="00000000" w:rsidR="00000000" w:rsidRPr="00000000">
        <w:rPr>
          <w:rtl w:val="0"/>
        </w:rPr>
        <w:t xml:space="preserve">-</w:t>
      </w:r>
      <w:r w:rsidDel="00000000" w:rsidR="00000000" w:rsidRPr="00000000">
        <w:rPr>
          <w:vertAlign w:val="baseline"/>
          <w:rtl w:val="0"/>
        </w:rPr>
        <w:t xml:space="preserve">Deficiencia zoológica y botánica: El estudio se sustenta en una única e insuficiente visita de campo donde los técnicos confunden la vegetación (identifican falsamente coscojas donde hay encinas) y registran "un ave" de forma indeterminada. Se omiten los impactos reales sobre avifauna protegida y en peligro de extinción catalogada en la zona como la Alondra Ricotí, el Sisón y el Aguilucho Cenizo (Vulnerable), cuyas áreas de nidificación y alimentación (entomofauna) serán destruidas por la ocupación de suelo y el vertido masivo de digestato. </w:t>
      </w:r>
    </w:p>
    <w:p w:rsidR="00000000" w:rsidDel="00000000" w:rsidP="00000000" w:rsidRDefault="00000000" w:rsidRPr="00000000" w14:paraId="0000001E">
      <w:pPr>
        <w:jc w:val="both"/>
        <w:rPr>
          <w:vertAlign w:val="baseline"/>
        </w:rPr>
      </w:pPr>
      <w:r w:rsidDel="00000000" w:rsidR="00000000" w:rsidRPr="00000000">
        <w:rPr>
          <w:rtl w:val="0"/>
        </w:rPr>
        <w:t xml:space="preserve">-</w:t>
      </w:r>
      <w:r w:rsidDel="00000000" w:rsidR="00000000" w:rsidRPr="00000000">
        <w:rPr>
          <w:vertAlign w:val="baseline"/>
          <w:rtl w:val="0"/>
        </w:rPr>
        <w:t xml:space="preserve">Insalubridad pública y olores: No se evalúa la proliferación del mosquito Culex pipiens (vector del virus del Nilo) en las balsas de digestato líquido proyectadas para albergar stock durante 9 meses; la cubierta de arlita propuesta es ineficaz ya que las larvas respiran aire atmosférico. Tampoco se aporta un análisis biológico del digestato que descarte la persistencia y acumulación plurianual de antibióticos y sustancias zoosanitarias peligrosas. </w:t>
      </w:r>
    </w:p>
    <w:p w:rsidR="00000000" w:rsidDel="00000000" w:rsidP="00000000" w:rsidRDefault="00000000" w:rsidRPr="00000000" w14:paraId="0000001F">
      <w:pPr>
        <w:jc w:val="both"/>
        <w:rPr>
          <w:vertAlign w:val="baseline"/>
        </w:rPr>
      </w:pPr>
      <w:r w:rsidDel="00000000" w:rsidR="00000000" w:rsidRPr="00000000">
        <w:rPr>
          <w:rtl w:val="0"/>
        </w:rPr>
        <w:t xml:space="preserve">-</w:t>
      </w:r>
      <w:r w:rsidDel="00000000" w:rsidR="00000000" w:rsidRPr="00000000">
        <w:rPr>
          <w:vertAlign w:val="baseline"/>
          <w:rtl w:val="0"/>
        </w:rPr>
        <w:t xml:space="preserve">Impacto atmosférico: El proceso prevé el venteo directo a la atmósfera de 13.587 toneladas/año de CO₂ (37 t/día) al carecer de valor comercial, contradiciendo los objetivos de descarbonización del sector. </w:t>
      </w:r>
    </w:p>
    <w:p w:rsidR="00000000" w:rsidDel="00000000" w:rsidP="00000000" w:rsidRDefault="00000000" w:rsidRPr="00000000" w14:paraId="00000020">
      <w:pPr>
        <w:jc w:val="both"/>
        <w:rPr>
          <w:b w:val="1"/>
          <w:bCs w:val="1"/>
          <w:vertAlign w:val="baseline"/>
        </w:rPr>
      </w:pPr>
      <w:r w:rsidDel="00000000" w:rsidR="00000000" w:rsidRPr="00000000">
        <w:rPr>
          <w:b w:val="1"/>
          <w:bCs w:val="1"/>
          <w:vertAlign w:val="baseline"/>
          <w:rtl w:val="0"/>
        </w:rPr>
        <w:t xml:space="preserve">6. INDEFENSIÓN PÚBLICA POR RESTRICCIONES DE ACCESO DIGITAL Y FALTA DE SOPORTE NORMATIVO </w:t>
      </w:r>
    </w:p>
    <w:p w:rsidR="00000000" w:rsidDel="00000000" w:rsidP="00000000" w:rsidRDefault="00000000" w:rsidRPr="00000000" w14:paraId="00000021">
      <w:pPr>
        <w:jc w:val="both"/>
        <w:rPr>
          <w:vertAlign w:val="baseline"/>
        </w:rPr>
      </w:pPr>
      <w:r w:rsidDel="00000000" w:rsidR="00000000" w:rsidRPr="00000000">
        <w:rPr>
          <w:vertAlign w:val="baseline"/>
          <w:rtl w:val="0"/>
        </w:rPr>
        <w:t xml:space="preserve">La plataforma digital de consulta de la Junta de Castilla y León restringe la visualización del expediente de 140 MB exclusivamente "online", bloqueando de forma explícita las funciones de descarga e impresión. Esto vulnera el derecho al acceso a la información ambiental (Ley 27/2006 y Ley 19/2013 de Transparencia), generando una evidente indefensión en el medio rural de Soria, castigado por brechas de conectividad digital. Adicionalmente, el proyecto carece de cobertura legal al tramitarse al margen del Plan Regional del Biogás 2024-2034, actualmente en fase de tramitación y desprovisto de vigencia jurídica.  </w:t>
      </w:r>
    </w:p>
    <w:p w:rsidR="00000000" w:rsidDel="00000000" w:rsidP="00000000" w:rsidRDefault="00000000" w:rsidRPr="00000000" w14:paraId="00000022">
      <w:pPr>
        <w:jc w:val="both"/>
        <w:rPr>
          <w:vertAlign w:val="baseline"/>
        </w:rPr>
      </w:pPr>
      <w:r w:rsidDel="00000000" w:rsidR="00000000" w:rsidRPr="00000000">
        <w:rPr>
          <w:vertAlign w:val="baseline"/>
          <w:rtl w:val="0"/>
        </w:rPr>
        <w:t xml:space="preserve">SOLICITA: </w:t>
      </w:r>
    </w:p>
    <w:p w:rsidR="00000000" w:rsidDel="00000000" w:rsidP="00000000" w:rsidRDefault="00000000" w:rsidRPr="00000000" w14:paraId="00000023">
      <w:pPr>
        <w:numPr>
          <w:ilvl w:val="0"/>
          <w:numId w:val="1"/>
        </w:numPr>
        <w:ind w:left="720" w:hanging="360"/>
        <w:jc w:val="both"/>
      </w:pPr>
      <w:r w:rsidDel="00000000" w:rsidR="00000000" w:rsidRPr="00000000">
        <w:rPr>
          <w:vertAlign w:val="baseline"/>
          <w:rtl w:val="0"/>
        </w:rPr>
        <w:t xml:space="preserve">Se reconozca formalmente al firmante como parte interesada en el expediente, otorgándole el  preceptivo trámite de audiencia previo a cualquier resolución. </w:t>
      </w:r>
    </w:p>
    <w:p w:rsidR="00000000" w:rsidDel="00000000" w:rsidP="00000000" w:rsidRDefault="00000000" w:rsidRPr="00000000" w14:paraId="00000024">
      <w:pPr>
        <w:numPr>
          <w:ilvl w:val="0"/>
          <w:numId w:val="1"/>
        </w:numPr>
        <w:ind w:left="720" w:hanging="360"/>
        <w:jc w:val="both"/>
        <w:rPr>
          <w:u w:val="none"/>
        </w:rPr>
      </w:pPr>
      <w:r w:rsidDel="00000000" w:rsidR="00000000" w:rsidRPr="00000000">
        <w:rPr>
          <w:rtl w:val="0"/>
        </w:rPr>
        <w:t xml:space="preserve">Se contesten a las alegaciones expuestas</w:t>
      </w:r>
    </w:p>
    <w:p w:rsidR="00000000" w:rsidDel="00000000" w:rsidP="00000000" w:rsidRDefault="00000000" w:rsidRPr="00000000" w14:paraId="00000025">
      <w:pPr>
        <w:numPr>
          <w:ilvl w:val="0"/>
          <w:numId w:val="1"/>
        </w:numPr>
        <w:ind w:left="720" w:hanging="360"/>
        <w:jc w:val="both"/>
      </w:pPr>
      <w:r w:rsidDel="00000000" w:rsidR="00000000" w:rsidRPr="00000000">
        <w:rPr>
          <w:vertAlign w:val="baseline"/>
          <w:rtl w:val="0"/>
        </w:rPr>
        <w:t xml:space="preserve">Se dicte una Declaración de Impacto Ambiental (DIA) DESFAVORABLE y, en consecuencia, se deniegue la Autorización Ambiental Integrada debido a la ocupación de dominio público, las infracciones urbanísticas y los riesgos hidrológicos insalvables expuestos. </w:t>
      </w:r>
    </w:p>
    <w:p w:rsidR="00000000" w:rsidDel="00000000" w:rsidP="00000000" w:rsidRDefault="00000000" w:rsidRPr="00000000" w14:paraId="00000026">
      <w:pPr>
        <w:numPr>
          <w:ilvl w:val="0"/>
          <w:numId w:val="1"/>
        </w:numPr>
        <w:ind w:left="720" w:hanging="360"/>
        <w:jc w:val="both"/>
      </w:pPr>
      <w:r w:rsidDel="00000000" w:rsidR="00000000" w:rsidRPr="00000000">
        <w:rPr>
          <w:vertAlign w:val="baseline"/>
          <w:rtl w:val="0"/>
        </w:rPr>
        <w:t xml:space="preserve">Subsidiariamente, se proceda a la anulación del trámite de información pública y se efectúe una nueva publicación que garantice el acceso libre, descargable e imprimible a la totalidad del expediente administrativo. </w:t>
      </w:r>
    </w:p>
    <w:p w:rsidR="00000000" w:rsidDel="00000000" w:rsidP="00000000" w:rsidRDefault="00000000" w:rsidRPr="00000000" w14:paraId="00000027">
      <w:pPr>
        <w:jc w:val="center"/>
        <w:rPr>
          <w:vertAlign w:val="baseline"/>
        </w:rPr>
      </w:pPr>
      <w:r w:rsidDel="00000000" w:rsidR="00000000" w:rsidRPr="00000000">
        <w:rPr>
          <w:vertAlign w:val="baseline"/>
          <w:rtl w:val="0"/>
        </w:rPr>
        <w:t xml:space="preserve">Soria, a </w:t>
      </w:r>
      <w:r w:rsidDel="00000000" w:rsidR="00000000" w:rsidRPr="00000000">
        <w:rPr>
          <w:rtl w:val="0"/>
        </w:rPr>
        <w:t xml:space="preserve">________</w:t>
      </w:r>
      <w:r w:rsidDel="00000000" w:rsidR="00000000" w:rsidRPr="00000000">
        <w:rPr>
          <w:vertAlign w:val="baseline"/>
          <w:rtl w:val="0"/>
        </w:rPr>
        <w:t xml:space="preserve"> de junio de 2026. </w:t>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r>
    </w:p>
    <w:p w:rsidR="00000000" w:rsidDel="00000000" w:rsidP="00000000" w:rsidRDefault="00000000" w:rsidRPr="00000000" w14:paraId="0000002A">
      <w:pPr>
        <w:jc w:val="center"/>
        <w:rPr>
          <w:rFonts w:ascii="Arial" w:cs="Arial" w:eastAsia="Arial" w:hAnsi="Arial"/>
          <w:b w:val="0"/>
          <w:bCs w:val="0"/>
          <w:i w:val="0"/>
          <w:iCs w:val="0"/>
          <w:smallCaps w:val="0"/>
          <w:strike w:val="0"/>
          <w:color w:val="718096"/>
          <w:sz w:val="17"/>
          <w:szCs w:val="17"/>
          <w:u w:val="none"/>
          <w:shd w:fill="auto" w:val="clear"/>
          <w:vertAlign w:val="baseline"/>
        </w:rPr>
      </w:pPr>
      <w:r w:rsidDel="00000000" w:rsidR="00000000" w:rsidRPr="00000000">
        <w:rPr>
          <w:vertAlign w:val="baseline"/>
          <w:rtl w:val="0"/>
        </w:rPr>
        <w:t xml:space="preserve">Firma: _________________________________________ </w:t>
      </w:r>
      <w:r w:rsidDel="00000000" w:rsidR="00000000" w:rsidRPr="00000000">
        <w:rPr>
          <w:rtl w:val="0"/>
        </w:rPr>
      </w:r>
    </w:p>
    <w:sectPr>
      <w:type w:val="continuous"/>
      <w:pgSz w:h="16820" w:w="11900" w:orient="portrait"/>
      <w:pgMar w:bottom="451.298828125" w:top="1012.972412109375" w:left="870.1436614990234" w:right="867.381591796875" w:header="0" w:footer="720"/>
      <w:cols w:equalWidth="0" w:num="1">
        <w:col w:space="0" w:w="10167.9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ndik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yperlink" Target="https://bocyl.jcyl.es/boletines/2026/05/07/pdf/BOCYL-D-07052026-85-24.pdf" TargetMode="External"/><Relationship Id="rId8" Type="http://schemas.openxmlformats.org/officeDocument/2006/relationships/hyperlink" Target="https://medioambiente.jcyl.es/web/jcyl/MedioAmbiente/es/Plantilla100Detalle/1284745686027/Texto%20Generico/1285636789893/Text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ndika-regular.ttf"/><Relationship Id="rId2" Type="http://schemas.openxmlformats.org/officeDocument/2006/relationships/font" Target="fonts/Andika-bold.ttf"/><Relationship Id="rId3" Type="http://schemas.openxmlformats.org/officeDocument/2006/relationships/font" Target="fonts/Andika-italic.ttf"/><Relationship Id="rId4" Type="http://schemas.openxmlformats.org/officeDocument/2006/relationships/font" Target="fonts/Andik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